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2E56B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Администрация </w:t>
            </w:r>
            <w:r w:rsidR="002E56B8">
              <w:rPr>
                <w:rFonts w:ascii="Times New Roman" w:hAnsi="Times New Roman"/>
              </w:rPr>
              <w:t>Октябрьского сельского поселения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2E56B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20.06.2016 № 38</w:t>
            </w:r>
            <w:bookmarkStart w:id="1" w:name="_GoBack"/>
            <w:bookmarkEnd w:id="1"/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ставлении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 xml:space="preserve">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>- отсутствуют основания для предоставления муниципального имущества в аренду  без торгов в соответствии с требованиями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явл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 xml:space="preserve">ющихся </w:t>
            </w:r>
            <w:r w:rsidRPr="00983E0C">
              <w:rPr>
                <w:rFonts w:ascii="Times New Roman" w:hAnsi="Times New Roman"/>
              </w:rPr>
              <w:t>Прил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или организацией, </w:t>
            </w:r>
            <w:r w:rsidRPr="00983E0C">
              <w:rPr>
                <w:rFonts w:ascii="Times New Roman" w:eastAsia="Calibri" w:hAnsi="Times New Roman"/>
              </w:rPr>
              <w:lastRenderedPageBreak/>
              <w:t>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явителя - юрид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lastRenderedPageBreak/>
              <w:t>ческого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пол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4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явитель для получения «подуслуги»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ющий полномочия лица на осуществление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ствий от имени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 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явителя,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явителя - юридического лица, индивидуального предприн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мателя банкротом и об откр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тии конкурсного произво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министративных правонар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аукц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оне должна содержать также доверенность на осуществл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действий от имени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теля, заверенную печатью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и подписанную рук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– юридического лица, индивидуального предприн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мателя банкротом и об откр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тии конкурсного произво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министративных правонар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юридических лиц (для юридическ</w:t>
            </w:r>
            <w:r w:rsidRPr="004A76B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</w:t>
            </w:r>
            <w:r w:rsidRPr="004A76B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явл</w:t>
            </w:r>
            <w:r w:rsidR="00FC3C26" w:rsidRPr="00983E0C">
              <w:rPr>
                <w:rFonts w:ascii="Times New Roman" w:hAnsi="Times New Roman"/>
                <w:b/>
              </w:rPr>
              <w:t>я</w:t>
            </w:r>
            <w:r w:rsidR="00FC3C26" w:rsidRPr="00983E0C">
              <w:rPr>
                <w:rFonts w:ascii="Times New Roman" w:hAnsi="Times New Roman"/>
                <w:b/>
              </w:rPr>
              <w:t>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0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>стрируется в журнале приема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 xml:space="preserve">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</w:t>
            </w:r>
            <w:r w:rsidRPr="00983E0C">
              <w:rPr>
                <w:rFonts w:ascii="Times New Roman" w:hAnsi="Times New Roman"/>
              </w:rPr>
              <w:lastRenderedPageBreak/>
              <w:t>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ставление муниципальной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ференции и пакет документов в соответствии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ставляет арендатору или ссуд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получателю необходимый пакет документов для государственной регистрации договора аренды 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</w:t>
            </w:r>
            <w:r w:rsidRPr="00CE2C1C">
              <w:rPr>
                <w:rFonts w:ascii="Times New Roman" w:hAnsi="Times New Roman"/>
              </w:rPr>
              <w:t>р</w:t>
            </w:r>
            <w:r w:rsidRPr="00CE2C1C">
              <w:rPr>
                <w:rFonts w:ascii="Times New Roman" w:hAnsi="Times New Roman"/>
              </w:rPr>
              <w:t>ственного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ставляет арендатору или ссуд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«подуслуги» и иных документов, необх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димых для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ставление «по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09" w:rsidRDefault="00385C09" w:rsidP="00F847AF">
      <w:pPr>
        <w:spacing w:after="0" w:line="240" w:lineRule="auto"/>
      </w:pPr>
      <w:r>
        <w:separator/>
      </w:r>
    </w:p>
  </w:endnote>
  <w:endnote w:type="continuationSeparator" w:id="0">
    <w:p w:rsidR="00385C09" w:rsidRDefault="00385C0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09" w:rsidRDefault="00385C09" w:rsidP="00F847AF">
      <w:pPr>
        <w:spacing w:after="0" w:line="240" w:lineRule="auto"/>
      </w:pPr>
      <w:r>
        <w:separator/>
      </w:r>
    </w:p>
  </w:footnote>
  <w:footnote w:type="continuationSeparator" w:id="0">
    <w:p w:rsidR="00385C09" w:rsidRDefault="00385C09" w:rsidP="00F847AF">
      <w:pPr>
        <w:spacing w:after="0" w:line="240" w:lineRule="auto"/>
      </w:pPr>
      <w:r>
        <w:continuationSeparator/>
      </w:r>
    </w:p>
  </w:footnote>
  <w:footnote w:id="1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6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0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1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E56B8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85C09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8F52-2B8D-4DA6-8F70-969D23D5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6416</Words>
  <Characters>36575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FoM</cp:lastModifiedBy>
  <cp:revision>7</cp:revision>
  <dcterms:created xsi:type="dcterms:W3CDTF">2016-11-07T11:29:00Z</dcterms:created>
  <dcterms:modified xsi:type="dcterms:W3CDTF">2016-12-13T06:28:00Z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